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17" w:rsidRPr="006D6717" w:rsidRDefault="006D6717" w:rsidP="006D6717">
      <w:pPr>
        <w:shd w:val="clear" w:color="auto" w:fill="FFFFFF" w:themeFill="background1"/>
        <w:spacing w:after="450" w:line="240" w:lineRule="auto"/>
        <w:jc w:val="center"/>
        <w:rPr>
          <w:rFonts w:ascii="MetaWebPro Normal" w:eastAsia="Times New Roman" w:hAnsi="MetaWebPro Normal" w:cs="Times New Roman"/>
          <w:b/>
          <w:color w:val="363F42"/>
          <w:sz w:val="36"/>
          <w:szCs w:val="36"/>
        </w:rPr>
      </w:pPr>
      <w:r>
        <w:rPr>
          <w:rFonts w:ascii="MetaWebPro Normal" w:eastAsia="Times New Roman" w:hAnsi="MetaWebPro Normal" w:cs="Times New Roman"/>
          <w:b/>
          <w:color w:val="363F42"/>
          <w:sz w:val="36"/>
          <w:szCs w:val="36"/>
        </w:rPr>
        <w:t>COMMON BUYER CLOSING COSTS</w:t>
      </w:r>
      <w:bookmarkStart w:id="0" w:name="_GoBack"/>
      <w:bookmarkEnd w:id="0"/>
    </w:p>
    <w:p w:rsidR="006D6717" w:rsidRDefault="006D6717" w:rsidP="006D6717">
      <w:pPr>
        <w:shd w:val="clear" w:color="auto" w:fill="FFFFFF" w:themeFill="background1"/>
        <w:spacing w:after="450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</w:p>
    <w:p w:rsidR="006D6717" w:rsidRPr="006D6717" w:rsidRDefault="006D6717" w:rsidP="006D6717">
      <w:pPr>
        <w:shd w:val="clear" w:color="auto" w:fill="FFFFFF" w:themeFill="background1"/>
        <w:spacing w:after="450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Closing costs include all of the expenses and fees associated with buying a home. They may be charged by the lender or other third parties for services rendered. This list outlines some of the most typical costs and when they are due.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Mortgage application fees or loan origination fees: The lender charges this fee to process the loan application. It may be paid prior to or at closing by the buyer.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Inspection fee: This is the cost of the home inspection charged by a licensed inspector. It may include special inspections, such as for pests or termites, and may be paid ahead or at closing.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Appraisal fees: Charged by the appraiser to determine the value of the home, these fees are paid by the buyer, usually at closing.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Fees for survey, title search, and recording fees: These are paid by either the seller or buyer and at closing.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Brokerage commission: Paid to the real estate brokers by the seller at closing.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Home warranty: Typically paid at closing, this fee is covered by the buyer, but may be included in the contract as the seller’s or Realtor’s responsibility.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Property insurance: Paid by the buyer to insure the property, this may be paid to the insurance company prior to closing or included in the closing transaction.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Property taxes: This amount must be calculated to determine how much the buyer and seller must pay for the prorated portions of the tax year.</w:t>
      </w:r>
    </w:p>
    <w:p w:rsidR="006D6717" w:rsidRPr="006D6717" w:rsidRDefault="006D6717" w:rsidP="006D6717">
      <w:pPr>
        <w:numPr>
          <w:ilvl w:val="0"/>
          <w:numId w:val="2"/>
        </w:numPr>
        <w:shd w:val="clear" w:color="auto" w:fill="FFFFFF" w:themeFill="background1"/>
        <w:spacing w:before="100" w:beforeAutospacing="1" w:after="225" w:line="240" w:lineRule="auto"/>
        <w:rPr>
          <w:rFonts w:ascii="MetaWebPro Normal" w:eastAsia="Times New Roman" w:hAnsi="MetaWebPro Normal" w:cs="Times New Roman"/>
          <w:color w:val="363F42"/>
          <w:sz w:val="24"/>
          <w:szCs w:val="24"/>
        </w:rPr>
      </w:pPr>
      <w:r w:rsidRPr="006D6717">
        <w:rPr>
          <w:rFonts w:ascii="MetaWebPro Normal" w:eastAsia="Times New Roman" w:hAnsi="MetaWebPro Normal" w:cs="Times New Roman"/>
          <w:color w:val="363F42"/>
          <w:sz w:val="24"/>
          <w:szCs w:val="24"/>
        </w:rPr>
        <w:t>Points: This amount is charged to reduce the interest rate through the life of the loan. One point is equal to one percent of the loan amount</w:t>
      </w:r>
    </w:p>
    <w:p w:rsidR="00C43603" w:rsidRDefault="006D6717" w:rsidP="006D6717"/>
    <w:p w:rsidR="006D6717" w:rsidRPr="006D6717" w:rsidRDefault="006D6717" w:rsidP="006D6717"/>
    <w:sectPr w:rsidR="006D6717" w:rsidRPr="006D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WebPro 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88D"/>
    <w:multiLevelType w:val="multilevel"/>
    <w:tmpl w:val="30B4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A6A10"/>
    <w:multiLevelType w:val="multilevel"/>
    <w:tmpl w:val="5CA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17"/>
    <w:rsid w:val="005B2EDF"/>
    <w:rsid w:val="006D6717"/>
    <w:rsid w:val="00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6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67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D67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6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67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D67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1</cp:revision>
  <dcterms:created xsi:type="dcterms:W3CDTF">2018-02-15T14:29:00Z</dcterms:created>
  <dcterms:modified xsi:type="dcterms:W3CDTF">2018-02-15T14:30:00Z</dcterms:modified>
</cp:coreProperties>
</file>